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39E" w14:textId="77777777" w:rsidR="008D14BF" w:rsidRDefault="008D14BF" w:rsidP="008D14BF">
      <w:r>
        <w:t>Студия РБК</w:t>
      </w:r>
      <w:r w:rsidRPr="0071225A">
        <w:t xml:space="preserve"> </w:t>
      </w:r>
      <w:r>
        <w:t xml:space="preserve">начала свою работу в рамках Петербургского международного экономического форума, который пройдет </w:t>
      </w:r>
      <w:proofErr w:type="gramStart"/>
      <w:r>
        <w:t>15-18</w:t>
      </w:r>
      <w:proofErr w:type="gramEnd"/>
      <w:r>
        <w:t xml:space="preserve"> июня. </w:t>
      </w:r>
    </w:p>
    <w:p w14:paraId="080CDDF2" w14:textId="77777777" w:rsidR="008D14BF" w:rsidRDefault="008D14BF" w:rsidP="008D14BF"/>
    <w:p w14:paraId="70AB5392" w14:textId="70A6369C" w:rsidR="008D14BF" w:rsidRDefault="008D14BF" w:rsidP="008D14BF">
      <w:r>
        <w:t xml:space="preserve">РБК является генеральным партнером бизнес-новостей ПМЭФ-2022. За всеми обновлениями, прямыми включениями и новостными сюжетами вы можете следить в </w:t>
      </w:r>
      <w:hyperlink r:id="rId8" w:history="1">
        <w:r w:rsidRPr="00861CB7">
          <w:rPr>
            <w:rStyle w:val="a3"/>
          </w:rPr>
          <w:t>одноименном разделе</w:t>
        </w:r>
      </w:hyperlink>
      <w:r>
        <w:t xml:space="preserve"> на главной странице </w:t>
      </w:r>
      <w:proofErr w:type="spellStart"/>
      <w:r>
        <w:rPr>
          <w:lang w:val="en-US"/>
        </w:rPr>
        <w:t>rbc</w:t>
      </w:r>
      <w:proofErr w:type="spellEnd"/>
      <w:r w:rsidRPr="00861CB7">
        <w:t>.</w:t>
      </w:r>
      <w:r>
        <w:rPr>
          <w:lang w:val="en-US"/>
        </w:rPr>
        <w:t>ru</w:t>
      </w:r>
      <w:r>
        <w:t xml:space="preserve"> или в приложении </w:t>
      </w:r>
      <w:r w:rsidR="00C90A7C">
        <w:t>РБК</w:t>
      </w:r>
      <w:r>
        <w:t xml:space="preserve">. </w:t>
      </w:r>
      <w:r w:rsidRPr="00861CB7">
        <w:t xml:space="preserve"> </w:t>
      </w:r>
    </w:p>
    <w:p w14:paraId="77B1FB44" w14:textId="77777777" w:rsidR="008D14BF" w:rsidRDefault="008D14BF" w:rsidP="008D14BF"/>
    <w:p w14:paraId="02015EB6" w14:textId="77777777" w:rsidR="008D14BF" w:rsidRPr="00861CB7" w:rsidRDefault="008D14BF" w:rsidP="008D14BF">
      <w:r>
        <w:t>Петербургский международный экономический форум (ПМЭФ) – уникальное событие в мире экономики и бизнеса. За прошедшие годы Форум стал ведущей мировой площадкой для общения представителей деловых кругов и обсуждения ключевых экономических вопросов, стоящих перед Россией, развивающимися рынками и миром в целом.</w:t>
      </w:r>
    </w:p>
    <w:p w14:paraId="180A417F" w14:textId="69BE80D3" w:rsidR="001D497A" w:rsidRPr="003039D3" w:rsidRDefault="001D497A" w:rsidP="003039D3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sectPr w:rsidR="001D497A" w:rsidRPr="003039D3" w:rsidSect="005E5DC9">
      <w:head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7D92" w14:textId="77777777" w:rsidR="0001537A" w:rsidRDefault="0001537A" w:rsidP="00071E61">
      <w:pPr>
        <w:spacing w:after="0" w:line="240" w:lineRule="auto"/>
      </w:pPr>
      <w:r>
        <w:separator/>
      </w:r>
    </w:p>
  </w:endnote>
  <w:endnote w:type="continuationSeparator" w:id="0">
    <w:p w14:paraId="3AC118ED" w14:textId="77777777" w:rsidR="0001537A" w:rsidRDefault="0001537A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raphik RBC LC Regular">
    <w:altName w:val="Graphik RBC LC"/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5B9" w14:textId="77777777" w:rsidR="0001537A" w:rsidRDefault="0001537A" w:rsidP="00071E61">
      <w:pPr>
        <w:spacing w:after="0" w:line="240" w:lineRule="auto"/>
      </w:pPr>
      <w:r>
        <w:separator/>
      </w:r>
    </w:p>
  </w:footnote>
  <w:footnote w:type="continuationSeparator" w:id="0">
    <w:p w14:paraId="26C907E4" w14:textId="77777777" w:rsidR="0001537A" w:rsidRDefault="0001537A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87689701">
    <w:abstractNumId w:val="0"/>
  </w:num>
  <w:num w:numId="2" w16cid:durableId="735932770">
    <w:abstractNumId w:val="12"/>
  </w:num>
  <w:num w:numId="3" w16cid:durableId="1003702233">
    <w:abstractNumId w:val="1"/>
  </w:num>
  <w:num w:numId="4" w16cid:durableId="935481970">
    <w:abstractNumId w:val="2"/>
  </w:num>
  <w:num w:numId="5" w16cid:durableId="1518929267">
    <w:abstractNumId w:val="3"/>
  </w:num>
  <w:num w:numId="6" w16cid:durableId="181170262">
    <w:abstractNumId w:val="4"/>
  </w:num>
  <w:num w:numId="7" w16cid:durableId="414671029">
    <w:abstractNumId w:val="9"/>
  </w:num>
  <w:num w:numId="8" w16cid:durableId="366299242">
    <w:abstractNumId w:val="5"/>
  </w:num>
  <w:num w:numId="9" w16cid:durableId="2099908683">
    <w:abstractNumId w:val="6"/>
  </w:num>
  <w:num w:numId="10" w16cid:durableId="1489134596">
    <w:abstractNumId w:val="7"/>
  </w:num>
  <w:num w:numId="11" w16cid:durableId="579825427">
    <w:abstractNumId w:val="8"/>
  </w:num>
  <w:num w:numId="12" w16cid:durableId="1956910312">
    <w:abstractNumId w:val="10"/>
  </w:num>
  <w:num w:numId="13" w16cid:durableId="1013610209">
    <w:abstractNumId w:val="11"/>
  </w:num>
  <w:num w:numId="14" w16cid:durableId="19980006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1537A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00E2C"/>
    <w:rsid w:val="003039D3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14BF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C1967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90A7C"/>
    <w:rsid w:val="00CC3178"/>
    <w:rsid w:val="00CD0A4A"/>
    <w:rsid w:val="00CF3552"/>
    <w:rsid w:val="00D17A7C"/>
    <w:rsid w:val="00D4243A"/>
    <w:rsid w:val="00D823CD"/>
    <w:rsid w:val="00D97487"/>
    <w:rsid w:val="00DB0785"/>
    <w:rsid w:val="00DF2AB9"/>
    <w:rsid w:val="00DF42A7"/>
    <w:rsid w:val="00DF4793"/>
    <w:rsid w:val="00E11A9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story/62a073b89a79477af9c5b5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3</cp:revision>
  <dcterms:created xsi:type="dcterms:W3CDTF">2022-06-14T14:33:00Z</dcterms:created>
  <dcterms:modified xsi:type="dcterms:W3CDTF">2022-06-14T14:33:00Z</dcterms:modified>
</cp:coreProperties>
</file>